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1B" w:rsidRPr="00D8564F" w:rsidRDefault="00F4771B" w:rsidP="002A71FF">
      <w:pPr>
        <w:shd w:val="clear" w:color="auto" w:fill="FFFFFF"/>
        <w:spacing w:line="54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sv-SE"/>
        </w:rPr>
      </w:pPr>
      <w:r w:rsidRPr="00D8564F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sv-SE"/>
        </w:rPr>
        <w:t>Grundsunds IF</w:t>
      </w:r>
      <w:r w:rsidR="002A71FF" w:rsidRPr="00D8564F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sv-SE"/>
        </w:rPr>
        <w:t xml:space="preserve"> </w:t>
      </w:r>
      <w:r w:rsidRPr="00D8564F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sv-SE"/>
        </w:rPr>
        <w:t>Innebandy för U-04</w:t>
      </w:r>
    </w:p>
    <w:p w:rsidR="00F4771B" w:rsidRPr="00D8564F" w:rsidRDefault="00D8564F" w:rsidP="002A71FF">
      <w:pPr>
        <w:shd w:val="clear" w:color="auto" w:fill="FFFFFF"/>
        <w:spacing w:line="54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sv-SE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sv-SE"/>
        </w:rPr>
        <w:t>Sammandrag</w:t>
      </w:r>
      <w:proofErr w:type="gramEnd"/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sv-SE"/>
        </w:rPr>
        <w:t xml:space="preserve"> U-</w:t>
      </w:r>
      <w:r w:rsidR="00F4771B" w:rsidRPr="00F477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sv-SE"/>
        </w:rPr>
        <w:t>04 9/12</w:t>
      </w: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sv-SE"/>
        </w:rPr>
        <w:t xml:space="preserve"> 2012</w:t>
      </w:r>
    </w:p>
    <w:p w:rsidR="00D8564F" w:rsidRDefault="00D8564F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</w:p>
    <w:p w:rsidR="00F4771B" w:rsidRPr="002A71FF" w:rsidRDefault="00F4771B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Hej på er då var det dags! Vi spelar ett sanmandrag i Uddevalla på Rimnershallen söndagen den 9 december med start klockan 12.00.</w:t>
      </w:r>
      <w:r w:rsid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 </w:t>
      </w: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Vi kommer att möta Walkesborg, Stenungsund och Åmål.</w:t>
      </w:r>
    </w:p>
    <w:p w:rsidR="00F4771B" w:rsidRPr="002A71FF" w:rsidRDefault="00F4771B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</w:p>
    <w:p w:rsidR="00F4771B" w:rsidRPr="002A71FF" w:rsidRDefault="00F4771B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Matcherna är 2 </w:t>
      </w:r>
      <w:proofErr w:type="gramStart"/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X !</w:t>
      </w:r>
      <w:proofErr w:type="gramEnd"/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0 minuter och avblåsning varannan minut för byte.</w:t>
      </w:r>
    </w:p>
    <w:p w:rsidR="00F4771B" w:rsidRPr="002A71FF" w:rsidRDefault="00F4771B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 w:rsidRPr="00F4771B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 </w:t>
      </w:r>
    </w:p>
    <w:p w:rsidR="00D8564F" w:rsidRDefault="00F4771B" w:rsidP="00D8564F">
      <w:pPr>
        <w:shd w:val="clear" w:color="auto" w:fill="FFFFFF"/>
        <w:spacing w:line="225" w:lineRule="atLeast"/>
        <w:jc w:val="center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 w:rsidRPr="00D8564F">
        <w:rPr>
          <w:rFonts w:ascii="Tahoma" w:eastAsia="Times New Roman" w:hAnsi="Tahoma" w:cs="Tahoma"/>
          <w:b/>
          <w:color w:val="666666"/>
          <w:sz w:val="20"/>
          <w:szCs w:val="20"/>
          <w:lang w:eastAsia="sv-SE"/>
        </w:rPr>
        <w:t>Vi samlas utanför Entren på Rimnersvallen 11.30.</w:t>
      </w:r>
    </w:p>
    <w:p w:rsidR="00D8564F" w:rsidRDefault="00D8564F" w:rsidP="00D8564F">
      <w:pPr>
        <w:shd w:val="clear" w:color="auto" w:fill="FFFFFF"/>
        <w:spacing w:line="225" w:lineRule="atLeast"/>
        <w:jc w:val="center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proofErr w:type="gramStart"/>
      <w:r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-</w:t>
      </w:r>
      <w:proofErr w:type="gramEnd"/>
      <w:r w:rsid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Prata med varandra om samåkning.</w:t>
      </w:r>
    </w:p>
    <w:p w:rsidR="00F4771B" w:rsidRPr="00D8564F" w:rsidRDefault="00795CD2" w:rsidP="00D8564F">
      <w:pPr>
        <w:shd w:val="clear" w:color="auto" w:fill="FFFFFF"/>
        <w:spacing w:line="225" w:lineRule="atLeast"/>
        <w:jc w:val="center"/>
        <w:outlineLvl w:val="5"/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</w:pPr>
      <w:r w:rsidRPr="00D8564F"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  <w:t>V</w:t>
      </w:r>
      <w:r w:rsidR="00D8564F" w:rsidRPr="00D8564F"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  <w:t>i</w:t>
      </w:r>
      <w:r w:rsidRPr="00D8564F"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  <w:t xml:space="preserve"> vill gärna ha reda på om barnen har möjlighet att vara med eller inte så snälla föräldrar</w:t>
      </w:r>
      <w:r w:rsidR="00D8564F"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  <w:t>!</w:t>
      </w:r>
      <w:r w:rsidRPr="00D8564F"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  <w:t xml:space="preserve"> sms:a Jonas på</w:t>
      </w:r>
      <w:proofErr w:type="gramStart"/>
      <w:r w:rsidRPr="00D8564F"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  <w:t xml:space="preserve"> 0706-352566</w:t>
      </w:r>
      <w:proofErr w:type="gramEnd"/>
      <w:r w:rsidRPr="00D8564F"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  <w:t xml:space="preserve"> om ert barn kommer </w:t>
      </w:r>
      <w:r w:rsidR="00D8564F" w:rsidRPr="00D8564F"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  <w:t xml:space="preserve">till match </w:t>
      </w:r>
      <w:r w:rsidRPr="00D8564F">
        <w:rPr>
          <w:rFonts w:ascii="Tahoma" w:eastAsia="Times New Roman" w:hAnsi="Tahoma" w:cs="Tahoma"/>
          <w:color w:val="666666"/>
          <w:sz w:val="20"/>
          <w:szCs w:val="20"/>
          <w:u w:val="single"/>
          <w:lang w:eastAsia="sv-SE"/>
        </w:rPr>
        <w:t>eller inte senast fredag den 7 december.</w:t>
      </w:r>
    </w:p>
    <w:p w:rsidR="002A71FF" w:rsidRDefault="002A71FF" w:rsidP="00D8564F">
      <w:pPr>
        <w:shd w:val="clear" w:color="auto" w:fill="FFFFFF"/>
        <w:spacing w:line="225" w:lineRule="atLeast"/>
        <w:jc w:val="center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</w:p>
    <w:p w:rsidR="00795CD2" w:rsidRPr="00795CD2" w:rsidRDefault="00795CD2" w:rsidP="00795CD2">
      <w:pPr>
        <w:shd w:val="clear" w:color="auto" w:fill="FFFFFF"/>
        <w:spacing w:line="225" w:lineRule="atLeast"/>
        <w:jc w:val="center"/>
        <w:outlineLvl w:val="5"/>
        <w:rPr>
          <w:rFonts w:ascii="Tahoma" w:eastAsia="Times New Roman" w:hAnsi="Tahoma" w:cs="Tahoma"/>
          <w:b/>
          <w:color w:val="666666"/>
          <w:sz w:val="20"/>
          <w:szCs w:val="20"/>
          <w:lang w:eastAsia="sv-SE"/>
        </w:rPr>
      </w:pPr>
      <w:r w:rsidRPr="00795CD2">
        <w:rPr>
          <w:rFonts w:ascii="Tahoma" w:eastAsia="Times New Roman" w:hAnsi="Tahoma" w:cs="Tahoma"/>
          <w:b/>
          <w:color w:val="666666"/>
          <w:sz w:val="20"/>
          <w:szCs w:val="20"/>
          <w:lang w:eastAsia="sv-SE"/>
        </w:rPr>
        <w:t>Hemsidan!</w:t>
      </w:r>
    </w:p>
    <w:p w:rsidR="002A71FF" w:rsidRDefault="002A71FF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Hemsidan för laget är igång och alla som har varit med och tränat ligger nu upplagda på </w:t>
      </w:r>
      <w:hyperlink r:id="rId4" w:history="1">
        <w:r w:rsidRPr="00883B48">
          <w:rPr>
            <w:rStyle w:val="Hyperlnk"/>
            <w:rFonts w:ascii="Tahoma" w:eastAsia="Times New Roman" w:hAnsi="Tahoma" w:cs="Tahoma"/>
            <w:sz w:val="20"/>
            <w:szCs w:val="20"/>
            <w:lang w:eastAsia="sv-SE"/>
          </w:rPr>
          <w:t>http://www.laget.se/gifU04</w:t>
        </w:r>
      </w:hyperlink>
      <w:r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 Vi vill att ni föräldrar kontrollerar de uppgifter som ligger inlagda.</w:t>
      </w:r>
      <w:r w:rsidR="00D8564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 </w:t>
      </w:r>
      <w:r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Det gör ni genom att logga in med er mail</w:t>
      </w:r>
      <w:r w:rsidR="00D8564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adress. På hem</w:t>
      </w:r>
      <w:r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sidan kommer det löpande att finnas information och nyheter om matcher, träningar och övrigt. </w:t>
      </w:r>
    </w:p>
    <w:p w:rsidR="002A71FF" w:rsidRPr="00795CD2" w:rsidRDefault="002A71FF" w:rsidP="00795CD2">
      <w:pPr>
        <w:shd w:val="clear" w:color="auto" w:fill="FFFFFF"/>
        <w:spacing w:line="225" w:lineRule="atLeast"/>
        <w:jc w:val="center"/>
        <w:outlineLvl w:val="5"/>
        <w:rPr>
          <w:rFonts w:ascii="Tahoma" w:eastAsia="Times New Roman" w:hAnsi="Tahoma" w:cs="Tahoma"/>
          <w:b/>
          <w:color w:val="666666"/>
          <w:sz w:val="20"/>
          <w:szCs w:val="20"/>
          <w:lang w:eastAsia="sv-SE"/>
        </w:rPr>
      </w:pPr>
    </w:p>
    <w:p w:rsidR="002A71FF" w:rsidRPr="00795CD2" w:rsidRDefault="00795CD2" w:rsidP="00795CD2">
      <w:pPr>
        <w:shd w:val="clear" w:color="auto" w:fill="FFFFFF"/>
        <w:spacing w:line="225" w:lineRule="atLeast"/>
        <w:jc w:val="center"/>
        <w:outlineLvl w:val="5"/>
        <w:rPr>
          <w:rFonts w:ascii="Tahoma" w:eastAsia="Times New Roman" w:hAnsi="Tahoma" w:cs="Tahoma"/>
          <w:b/>
          <w:color w:val="666666"/>
          <w:sz w:val="20"/>
          <w:szCs w:val="20"/>
          <w:lang w:eastAsia="sv-SE"/>
        </w:rPr>
      </w:pPr>
      <w:r w:rsidRPr="00795CD2">
        <w:rPr>
          <w:rFonts w:ascii="Tahoma" w:eastAsia="Times New Roman" w:hAnsi="Tahoma" w:cs="Tahoma"/>
          <w:b/>
          <w:color w:val="666666"/>
          <w:sz w:val="20"/>
          <w:szCs w:val="20"/>
          <w:lang w:eastAsia="sv-SE"/>
        </w:rPr>
        <w:t>Tränarna!</w:t>
      </w:r>
    </w:p>
    <w:p w:rsidR="002A71FF" w:rsidRDefault="00251D7E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Vi är med som tränare för </w:t>
      </w:r>
      <w:r w:rsid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ett spelande lag för </w:t>
      </w: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första gången och det finns nog ett par barnsjukdomar hos både Tobbe och Jonas men vi kommer att göra vårt bästa för att få ihop det. </w:t>
      </w:r>
      <w:r w:rsid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Under december </w:t>
      </w: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kommer </w:t>
      </w:r>
      <w:r w:rsid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vi </w:t>
      </w: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att gå grundutbildni</w:t>
      </w:r>
      <w:r w:rsid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ngen </w:t>
      </w: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för tränare </w:t>
      </w:r>
      <w:r w:rsid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inom Bohuslän-Dahls Innebandyförbund</w:t>
      </w: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 och </w:t>
      </w:r>
      <w:r w:rsidR="002A71FF"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senare i vår </w:t>
      </w:r>
      <w:proofErr w:type="gramStart"/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innebandyutbildningen</w:t>
      </w:r>
      <w:proofErr w:type="gramEnd"/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 för 6-9 åringar.  </w:t>
      </w:r>
    </w:p>
    <w:p w:rsidR="002A71FF" w:rsidRDefault="002A71FF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</w:p>
    <w:p w:rsidR="00795CD2" w:rsidRPr="00795CD2" w:rsidRDefault="00795CD2" w:rsidP="00795CD2">
      <w:pPr>
        <w:shd w:val="clear" w:color="auto" w:fill="FFFFFF"/>
        <w:spacing w:line="225" w:lineRule="atLeast"/>
        <w:jc w:val="center"/>
        <w:outlineLvl w:val="5"/>
        <w:rPr>
          <w:rFonts w:ascii="Tahoma" w:eastAsia="Times New Roman" w:hAnsi="Tahoma" w:cs="Tahoma"/>
          <w:b/>
          <w:color w:val="666666"/>
          <w:sz w:val="20"/>
          <w:szCs w:val="20"/>
          <w:lang w:eastAsia="sv-SE"/>
        </w:rPr>
      </w:pPr>
      <w:r w:rsidRPr="00795CD2">
        <w:rPr>
          <w:rFonts w:ascii="Tahoma" w:eastAsia="Times New Roman" w:hAnsi="Tahoma" w:cs="Tahoma"/>
          <w:b/>
          <w:color w:val="666666"/>
          <w:sz w:val="20"/>
          <w:szCs w:val="20"/>
          <w:lang w:eastAsia="sv-SE"/>
        </w:rPr>
        <w:t>Matchform!</w:t>
      </w:r>
    </w:p>
    <w:p w:rsidR="00795CD2" w:rsidRDefault="00795CD2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De första åren i Bohuslän-Dahl som man spelar Innebandy gör man det inte i vanlig serieform där två lag möts vid varje tillfälle, I stället spelar vi sammandrag där flera lag spelar sammandrag med tre eller fyra lag per gång där alla möter alla under samma dag.</w:t>
      </w:r>
    </w:p>
    <w:p w:rsidR="00D8564F" w:rsidRDefault="00251D7E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Detta </w:t>
      </w:r>
      <w:proofErr w:type="gramStart"/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sammandraget</w:t>
      </w:r>
      <w:proofErr w:type="gramEnd"/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 xml:space="preserve"> är det första av fyra och på spelschemat nedan ser ni resten av säsongens </w:t>
      </w:r>
    </w:p>
    <w:p w:rsidR="00251D7E" w:rsidRDefault="00251D7E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 w:rsidRPr="002A71FF">
        <w:rPr>
          <w:rFonts w:ascii="Tahoma" w:eastAsia="Times New Roman" w:hAnsi="Tahoma" w:cs="Tahoma"/>
          <w:color w:val="666666"/>
          <w:sz w:val="20"/>
          <w:szCs w:val="20"/>
          <w:lang w:eastAsia="sv-SE"/>
        </w:rPr>
        <w:t>matcher.</w:t>
      </w:r>
    </w:p>
    <w:p w:rsidR="00D8564F" w:rsidRDefault="00D8564F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</w:p>
    <w:p w:rsidR="00D8564F" w:rsidRPr="002A71FF" w:rsidRDefault="00D8564F" w:rsidP="00D8564F">
      <w:pPr>
        <w:shd w:val="clear" w:color="auto" w:fill="FFFFFF"/>
        <w:spacing w:line="225" w:lineRule="atLeast"/>
        <w:jc w:val="center"/>
        <w:outlineLvl w:val="5"/>
        <w:rPr>
          <w:rFonts w:ascii="Tahoma" w:eastAsia="Times New Roman" w:hAnsi="Tahoma" w:cs="Tahoma"/>
          <w:color w:val="666666"/>
          <w:sz w:val="20"/>
          <w:szCs w:val="20"/>
          <w:lang w:eastAsia="sv-SE"/>
        </w:rPr>
      </w:pPr>
      <w:r w:rsidRPr="00D8564F">
        <w:rPr>
          <w:rFonts w:ascii="Tahoma" w:eastAsia="Times New Roman" w:hAnsi="Tahoma" w:cs="Tahoma"/>
          <w:b/>
          <w:color w:val="333333"/>
          <w:sz w:val="17"/>
          <w:szCs w:val="17"/>
          <w:lang w:eastAsia="sv-SE"/>
        </w:rPr>
        <w:t>OBS: GLÖM INTE SKYDDSGLASÖGON, ÄR OBLIGATORSIK FR.O</w:t>
      </w:r>
      <w:proofErr w:type="gramStart"/>
      <w:r w:rsidRPr="00D8564F">
        <w:rPr>
          <w:rFonts w:ascii="Tahoma" w:eastAsia="Times New Roman" w:hAnsi="Tahoma" w:cs="Tahoma"/>
          <w:b/>
          <w:color w:val="333333"/>
          <w:sz w:val="17"/>
          <w:szCs w:val="17"/>
          <w:lang w:eastAsia="sv-SE"/>
        </w:rPr>
        <w:t>.M I</w:t>
      </w:r>
      <w:proofErr w:type="gramEnd"/>
      <w:r w:rsidRPr="00D8564F">
        <w:rPr>
          <w:rFonts w:ascii="Tahoma" w:eastAsia="Times New Roman" w:hAnsi="Tahoma" w:cs="Tahoma"/>
          <w:b/>
          <w:color w:val="333333"/>
          <w:sz w:val="17"/>
          <w:szCs w:val="17"/>
          <w:lang w:eastAsia="sv-SE"/>
        </w:rPr>
        <w:t xml:space="preserve"> ÅR</w:t>
      </w:r>
      <w:r w:rsidRPr="00D8564F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F4771B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  <w:t>Välkomna till sammandraget 9/12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  <w:r w:rsidRPr="00F4771B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Med vänlig hälsning 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Tobbe </w:t>
      </w:r>
      <w:r w:rsidRPr="00F4771B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och </w:t>
      </w:r>
      <w:r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Jonas.</w:t>
      </w:r>
    </w:p>
    <w:p w:rsidR="00F4771B" w:rsidRDefault="00251D7E" w:rsidP="00F4771B">
      <w:pPr>
        <w:shd w:val="clear" w:color="auto" w:fill="FFFFFF"/>
        <w:spacing w:line="225" w:lineRule="atLeast"/>
        <w:outlineLvl w:val="5"/>
        <w:rPr>
          <w:rFonts w:ascii="Tahoma" w:eastAsia="Times New Roman" w:hAnsi="Tahoma" w:cs="Tahoma"/>
          <w:color w:val="666666"/>
          <w:sz w:val="15"/>
          <w:szCs w:val="15"/>
          <w:lang w:eastAsia="sv-SE"/>
        </w:rPr>
      </w:pPr>
      <w:r>
        <w:rPr>
          <w:rFonts w:ascii="Tahoma" w:eastAsia="Times New Roman" w:hAnsi="Tahoma" w:cs="Tahoma"/>
          <w:color w:val="666666"/>
          <w:sz w:val="15"/>
          <w:szCs w:val="15"/>
          <w:lang w:eastAsia="sv-SE"/>
        </w:rPr>
        <w:tab/>
      </w:r>
    </w:p>
    <w:tbl>
      <w:tblPr>
        <w:tblStyle w:val="Tabellrutnt"/>
        <w:tblpPr w:leftFromText="141" w:rightFromText="141" w:vertAnchor="text" w:horzAnchor="margin" w:tblpXSpec="center" w:tblpY="40"/>
        <w:tblW w:w="10456" w:type="dxa"/>
        <w:tblLayout w:type="fixed"/>
        <w:tblLook w:val="0000"/>
      </w:tblPr>
      <w:tblGrid>
        <w:gridCol w:w="817"/>
        <w:gridCol w:w="644"/>
        <w:gridCol w:w="915"/>
        <w:gridCol w:w="690"/>
        <w:gridCol w:w="1449"/>
        <w:gridCol w:w="1122"/>
        <w:gridCol w:w="1842"/>
        <w:gridCol w:w="273"/>
        <w:gridCol w:w="1287"/>
        <w:gridCol w:w="623"/>
        <w:gridCol w:w="794"/>
      </w:tblGrid>
      <w:tr w:rsidR="00251D7E" w:rsidRPr="00D8564F" w:rsidTr="00D8564F">
        <w:trPr>
          <w:gridAfter w:val="1"/>
          <w:wAfter w:w="794" w:type="dxa"/>
          <w:trHeight w:val="112"/>
        </w:trPr>
        <w:tc>
          <w:tcPr>
            <w:tcW w:w="9662" w:type="dxa"/>
            <w:gridSpan w:val="10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Usammandrag 12/13</w:t>
            </w:r>
          </w:p>
        </w:tc>
      </w:tr>
      <w:tr w:rsidR="00251D7E" w:rsidRPr="00D8564F" w:rsidTr="00D8564F">
        <w:trPr>
          <w:gridAfter w:val="1"/>
          <w:wAfter w:w="794" w:type="dxa"/>
          <w:trHeight w:val="112"/>
        </w:trPr>
        <w:tc>
          <w:tcPr>
            <w:tcW w:w="9662" w:type="dxa"/>
            <w:gridSpan w:val="10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BDIBF</w:t>
            </w:r>
          </w:p>
        </w:tc>
      </w:tr>
      <w:tr w:rsidR="00251D7E" w:rsidRPr="00D8564F" w:rsidTr="00D8564F">
        <w:trPr>
          <w:gridAfter w:val="1"/>
          <w:wAfter w:w="794" w:type="dxa"/>
          <w:trHeight w:val="112"/>
        </w:trPr>
        <w:tc>
          <w:tcPr>
            <w:tcW w:w="4515" w:type="dxa"/>
            <w:gridSpan w:val="5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U8</w:t>
            </w:r>
          </w:p>
        </w:tc>
        <w:tc>
          <w:tcPr>
            <w:tcW w:w="5147" w:type="dxa"/>
            <w:gridSpan w:val="5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Födda 04 och senare</w:t>
            </w:r>
          </w:p>
        </w:tc>
      </w:tr>
      <w:tr w:rsidR="00251D7E" w:rsidRPr="00D8564F" w:rsidTr="00D8564F">
        <w:trPr>
          <w:trHeight w:val="105"/>
        </w:trPr>
        <w:tc>
          <w:tcPr>
            <w:tcW w:w="817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Vecka</w:t>
            </w:r>
          </w:p>
        </w:tc>
        <w:tc>
          <w:tcPr>
            <w:tcW w:w="1559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 xml:space="preserve">Arrangör </w:t>
            </w:r>
          </w:p>
        </w:tc>
        <w:tc>
          <w:tcPr>
            <w:tcW w:w="3261" w:type="dxa"/>
            <w:gridSpan w:val="3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Deltagare</w:t>
            </w:r>
          </w:p>
        </w:tc>
        <w:tc>
          <w:tcPr>
            <w:tcW w:w="1842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Spelplats</w:t>
            </w:r>
          </w:p>
        </w:tc>
        <w:tc>
          <w:tcPr>
            <w:tcW w:w="1560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17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Tid</w:t>
            </w:r>
          </w:p>
        </w:tc>
      </w:tr>
      <w:tr w:rsidR="00D8564F" w:rsidRPr="00D8564F" w:rsidTr="00D8564F">
        <w:trPr>
          <w:trHeight w:val="93"/>
        </w:trPr>
        <w:tc>
          <w:tcPr>
            <w:tcW w:w="817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Billingsfors</w:t>
            </w:r>
          </w:p>
        </w:tc>
        <w:tc>
          <w:tcPr>
            <w:tcW w:w="3261" w:type="dxa"/>
            <w:gridSpan w:val="3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Orust, Ljungskile, Åmål</w:t>
            </w:r>
          </w:p>
        </w:tc>
        <w:tc>
          <w:tcPr>
            <w:tcW w:w="1842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Bollhallen</w:t>
            </w:r>
          </w:p>
        </w:tc>
        <w:tc>
          <w:tcPr>
            <w:tcW w:w="1560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2012-11-18</w:t>
            </w:r>
          </w:p>
        </w:tc>
        <w:tc>
          <w:tcPr>
            <w:tcW w:w="1417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proofErr w:type="gramStart"/>
            <w:r w:rsidRPr="00D8564F">
              <w:rPr>
                <w:sz w:val="20"/>
                <w:szCs w:val="20"/>
              </w:rPr>
              <w:t>13.00-16.00</w:t>
            </w:r>
            <w:proofErr w:type="gramEnd"/>
          </w:p>
        </w:tc>
      </w:tr>
      <w:tr w:rsidR="00D8564F" w:rsidRPr="00D8564F" w:rsidTr="00D8564F">
        <w:trPr>
          <w:trHeight w:val="93"/>
        </w:trPr>
        <w:tc>
          <w:tcPr>
            <w:tcW w:w="817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Walkesborg</w:t>
            </w:r>
          </w:p>
        </w:tc>
        <w:tc>
          <w:tcPr>
            <w:tcW w:w="3261" w:type="dxa"/>
            <w:gridSpan w:val="3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Stenungsund, Åmål, Grundsund</w:t>
            </w:r>
          </w:p>
        </w:tc>
        <w:tc>
          <w:tcPr>
            <w:tcW w:w="1842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Rimnershallen</w:t>
            </w:r>
          </w:p>
        </w:tc>
        <w:tc>
          <w:tcPr>
            <w:tcW w:w="1560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2012-12-09</w:t>
            </w:r>
          </w:p>
        </w:tc>
        <w:tc>
          <w:tcPr>
            <w:tcW w:w="1417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proofErr w:type="gramStart"/>
            <w:r w:rsidRPr="00D8564F">
              <w:rPr>
                <w:sz w:val="20"/>
                <w:szCs w:val="20"/>
              </w:rPr>
              <w:t>12.00-15.00</w:t>
            </w:r>
            <w:proofErr w:type="gramEnd"/>
          </w:p>
        </w:tc>
      </w:tr>
      <w:tr w:rsidR="00D8564F" w:rsidRPr="00D8564F" w:rsidTr="00D8564F">
        <w:trPr>
          <w:trHeight w:val="93"/>
        </w:trPr>
        <w:tc>
          <w:tcPr>
            <w:tcW w:w="817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Åmål</w:t>
            </w:r>
          </w:p>
        </w:tc>
        <w:tc>
          <w:tcPr>
            <w:tcW w:w="3261" w:type="dxa"/>
            <w:gridSpan w:val="3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Billingsfors, Walkesborg, Orust</w:t>
            </w:r>
          </w:p>
        </w:tc>
        <w:tc>
          <w:tcPr>
            <w:tcW w:w="1842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Karlbergsskolan</w:t>
            </w:r>
          </w:p>
        </w:tc>
        <w:tc>
          <w:tcPr>
            <w:tcW w:w="1560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2013-02-09</w:t>
            </w:r>
          </w:p>
        </w:tc>
        <w:tc>
          <w:tcPr>
            <w:tcW w:w="1417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proofErr w:type="gramStart"/>
            <w:r w:rsidRPr="00D8564F">
              <w:rPr>
                <w:sz w:val="20"/>
                <w:szCs w:val="20"/>
              </w:rPr>
              <w:t>14.00-18.00</w:t>
            </w:r>
            <w:proofErr w:type="gramEnd"/>
          </w:p>
        </w:tc>
      </w:tr>
      <w:tr w:rsidR="00D8564F" w:rsidRPr="00D8564F" w:rsidTr="00D8564F">
        <w:trPr>
          <w:trHeight w:val="97"/>
        </w:trPr>
        <w:tc>
          <w:tcPr>
            <w:tcW w:w="817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 xml:space="preserve">Ljungskile </w:t>
            </w:r>
          </w:p>
        </w:tc>
        <w:tc>
          <w:tcPr>
            <w:tcW w:w="3261" w:type="dxa"/>
            <w:gridSpan w:val="3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Grundsund, Stenungsund</w:t>
            </w:r>
          </w:p>
        </w:tc>
        <w:tc>
          <w:tcPr>
            <w:tcW w:w="1842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Linneaskolan/</w:t>
            </w:r>
          </w:p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Folkhögsskolan</w:t>
            </w:r>
          </w:p>
        </w:tc>
        <w:tc>
          <w:tcPr>
            <w:tcW w:w="1560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2013-02-10</w:t>
            </w:r>
          </w:p>
        </w:tc>
        <w:tc>
          <w:tcPr>
            <w:tcW w:w="1417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proofErr w:type="gramStart"/>
            <w:r w:rsidRPr="00D8564F">
              <w:rPr>
                <w:sz w:val="20"/>
                <w:szCs w:val="20"/>
              </w:rPr>
              <w:t>12.30-15.00</w:t>
            </w:r>
            <w:proofErr w:type="gramEnd"/>
          </w:p>
        </w:tc>
      </w:tr>
      <w:tr w:rsidR="00D8564F" w:rsidRPr="00D8564F" w:rsidTr="00D8564F">
        <w:trPr>
          <w:trHeight w:val="93"/>
        </w:trPr>
        <w:tc>
          <w:tcPr>
            <w:tcW w:w="817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Grundsund</w:t>
            </w:r>
          </w:p>
        </w:tc>
        <w:tc>
          <w:tcPr>
            <w:tcW w:w="3261" w:type="dxa"/>
            <w:gridSpan w:val="3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Billingsfors, Walkesborg, Åmål</w:t>
            </w:r>
          </w:p>
        </w:tc>
        <w:tc>
          <w:tcPr>
            <w:tcW w:w="1842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 xml:space="preserve">Bottnahallen </w:t>
            </w:r>
          </w:p>
        </w:tc>
        <w:tc>
          <w:tcPr>
            <w:tcW w:w="1560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2013-03-03</w:t>
            </w:r>
          </w:p>
        </w:tc>
        <w:tc>
          <w:tcPr>
            <w:tcW w:w="1417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proofErr w:type="gramStart"/>
            <w:r w:rsidRPr="00D8564F">
              <w:rPr>
                <w:sz w:val="20"/>
                <w:szCs w:val="20"/>
              </w:rPr>
              <w:t>13.00-16.00</w:t>
            </w:r>
            <w:proofErr w:type="gramEnd"/>
          </w:p>
        </w:tc>
      </w:tr>
      <w:tr w:rsidR="00D8564F" w:rsidRPr="00D8564F" w:rsidTr="00D8564F">
        <w:trPr>
          <w:trHeight w:val="93"/>
        </w:trPr>
        <w:tc>
          <w:tcPr>
            <w:tcW w:w="817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Stenungsund</w:t>
            </w:r>
          </w:p>
        </w:tc>
        <w:tc>
          <w:tcPr>
            <w:tcW w:w="3261" w:type="dxa"/>
            <w:gridSpan w:val="3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Orust, Ljungskile, Walkersborg</w:t>
            </w:r>
          </w:p>
        </w:tc>
        <w:tc>
          <w:tcPr>
            <w:tcW w:w="1842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Sundahallen</w:t>
            </w:r>
          </w:p>
        </w:tc>
        <w:tc>
          <w:tcPr>
            <w:tcW w:w="1560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2013-03-03</w:t>
            </w:r>
          </w:p>
        </w:tc>
        <w:tc>
          <w:tcPr>
            <w:tcW w:w="1417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09.00-12.00</w:t>
            </w:r>
          </w:p>
        </w:tc>
      </w:tr>
      <w:tr w:rsidR="00D8564F" w:rsidRPr="00D8564F" w:rsidTr="00D8564F">
        <w:trPr>
          <w:trHeight w:val="93"/>
        </w:trPr>
        <w:tc>
          <w:tcPr>
            <w:tcW w:w="817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Billingsfors</w:t>
            </w:r>
          </w:p>
        </w:tc>
        <w:tc>
          <w:tcPr>
            <w:tcW w:w="3261" w:type="dxa"/>
            <w:gridSpan w:val="3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Åmål, Grundsund, Ljungskile</w:t>
            </w:r>
          </w:p>
        </w:tc>
        <w:tc>
          <w:tcPr>
            <w:tcW w:w="1842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Bollhallen</w:t>
            </w:r>
          </w:p>
        </w:tc>
        <w:tc>
          <w:tcPr>
            <w:tcW w:w="1560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2013-03-16</w:t>
            </w:r>
          </w:p>
        </w:tc>
        <w:tc>
          <w:tcPr>
            <w:tcW w:w="1417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proofErr w:type="gramStart"/>
            <w:r w:rsidRPr="00D8564F">
              <w:rPr>
                <w:sz w:val="20"/>
                <w:szCs w:val="20"/>
              </w:rPr>
              <w:t>11.00-14.00</w:t>
            </w:r>
            <w:proofErr w:type="gramEnd"/>
          </w:p>
        </w:tc>
      </w:tr>
      <w:tr w:rsidR="00D8564F" w:rsidRPr="00D8564F" w:rsidTr="00D8564F">
        <w:trPr>
          <w:trHeight w:val="93"/>
        </w:trPr>
        <w:tc>
          <w:tcPr>
            <w:tcW w:w="817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Orust</w:t>
            </w:r>
          </w:p>
        </w:tc>
        <w:tc>
          <w:tcPr>
            <w:tcW w:w="3261" w:type="dxa"/>
            <w:gridSpan w:val="3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Stenungsund, Walkesborg, Grundsund</w:t>
            </w:r>
          </w:p>
        </w:tc>
        <w:tc>
          <w:tcPr>
            <w:tcW w:w="1842" w:type="dxa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Svanesunds Idrottshall</w:t>
            </w:r>
          </w:p>
        </w:tc>
        <w:tc>
          <w:tcPr>
            <w:tcW w:w="1560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2013-03-24</w:t>
            </w:r>
          </w:p>
        </w:tc>
        <w:tc>
          <w:tcPr>
            <w:tcW w:w="1417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proofErr w:type="gramStart"/>
            <w:r w:rsidRPr="00D8564F">
              <w:rPr>
                <w:sz w:val="20"/>
                <w:szCs w:val="20"/>
              </w:rPr>
              <w:t>12.00-16.00</w:t>
            </w:r>
            <w:proofErr w:type="gramEnd"/>
          </w:p>
        </w:tc>
      </w:tr>
      <w:tr w:rsidR="002A71FF" w:rsidRPr="00D8564F" w:rsidTr="00D8564F">
        <w:trPr>
          <w:gridAfter w:val="3"/>
          <w:wAfter w:w="2704" w:type="dxa"/>
          <w:trHeight w:val="93"/>
        </w:trPr>
        <w:tc>
          <w:tcPr>
            <w:tcW w:w="1461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Walkesborg</w:t>
            </w:r>
          </w:p>
        </w:tc>
        <w:tc>
          <w:tcPr>
            <w:tcW w:w="1605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Stenungsund</w:t>
            </w:r>
          </w:p>
        </w:tc>
        <w:tc>
          <w:tcPr>
            <w:tcW w:w="4686" w:type="dxa"/>
            <w:gridSpan w:val="4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sz w:val="20"/>
                <w:szCs w:val="20"/>
              </w:rPr>
              <w:t>4-lags sammandrag, 2 x 10 med bytesavblåsning</w:t>
            </w:r>
          </w:p>
        </w:tc>
      </w:tr>
      <w:tr w:rsidR="00251D7E" w:rsidRPr="00D8564F" w:rsidTr="00D8564F">
        <w:trPr>
          <w:gridAfter w:val="7"/>
          <w:wAfter w:w="7390" w:type="dxa"/>
          <w:trHeight w:val="93"/>
        </w:trPr>
        <w:tc>
          <w:tcPr>
            <w:tcW w:w="1461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Åmål</w:t>
            </w:r>
          </w:p>
        </w:tc>
        <w:tc>
          <w:tcPr>
            <w:tcW w:w="1605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Orust</w:t>
            </w:r>
          </w:p>
        </w:tc>
      </w:tr>
      <w:tr w:rsidR="002A71FF" w:rsidRPr="00D8564F" w:rsidTr="00D8564F">
        <w:trPr>
          <w:gridAfter w:val="3"/>
          <w:wAfter w:w="2704" w:type="dxa"/>
          <w:trHeight w:val="93"/>
        </w:trPr>
        <w:tc>
          <w:tcPr>
            <w:tcW w:w="1461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Billingsfors</w:t>
            </w:r>
          </w:p>
        </w:tc>
        <w:tc>
          <w:tcPr>
            <w:tcW w:w="1605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Ljungskile</w:t>
            </w:r>
          </w:p>
        </w:tc>
        <w:tc>
          <w:tcPr>
            <w:tcW w:w="4686" w:type="dxa"/>
            <w:gridSpan w:val="4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små mål</w:t>
            </w:r>
          </w:p>
        </w:tc>
      </w:tr>
      <w:tr w:rsidR="00251D7E" w:rsidRPr="00D8564F" w:rsidTr="00D8564F">
        <w:trPr>
          <w:gridAfter w:val="9"/>
          <w:wAfter w:w="8995" w:type="dxa"/>
          <w:trHeight w:val="93"/>
        </w:trPr>
        <w:tc>
          <w:tcPr>
            <w:tcW w:w="1461" w:type="dxa"/>
            <w:gridSpan w:val="2"/>
          </w:tcPr>
          <w:p w:rsidR="00251D7E" w:rsidRPr="00D8564F" w:rsidRDefault="00251D7E" w:rsidP="00251D7E">
            <w:pPr>
              <w:pStyle w:val="Default"/>
              <w:rPr>
                <w:sz w:val="20"/>
                <w:szCs w:val="20"/>
              </w:rPr>
            </w:pPr>
            <w:r w:rsidRPr="00D8564F">
              <w:rPr>
                <w:b/>
                <w:bCs/>
                <w:sz w:val="20"/>
                <w:szCs w:val="20"/>
              </w:rPr>
              <w:t>Grundsund</w:t>
            </w:r>
          </w:p>
        </w:tc>
      </w:tr>
    </w:tbl>
    <w:p w:rsidR="00F4771B" w:rsidRDefault="00F4771B" w:rsidP="00F4771B">
      <w:pPr>
        <w:pStyle w:val="Default"/>
      </w:pPr>
    </w:p>
    <w:p w:rsidR="006E3BCC" w:rsidRDefault="006E3BCC" w:rsidP="00F4771B"/>
    <w:sectPr w:rsidR="006E3BCC" w:rsidSect="006E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4771B"/>
    <w:rsid w:val="00250C3A"/>
    <w:rsid w:val="00251D7E"/>
    <w:rsid w:val="002A71FF"/>
    <w:rsid w:val="006E3BCC"/>
    <w:rsid w:val="00795CD2"/>
    <w:rsid w:val="00D8564F"/>
    <w:rsid w:val="00F4771B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CC"/>
  </w:style>
  <w:style w:type="paragraph" w:styleId="Rubrik1">
    <w:name w:val="heading 1"/>
    <w:basedOn w:val="Normal"/>
    <w:link w:val="Rubrik1Char"/>
    <w:uiPriority w:val="9"/>
    <w:qFormat/>
    <w:rsid w:val="00F4771B"/>
    <w:pPr>
      <w:spacing w:line="225" w:lineRule="atLeast"/>
      <w:outlineLvl w:val="0"/>
    </w:pPr>
    <w:rPr>
      <w:rFonts w:ascii="Arial" w:eastAsia="Times New Roman" w:hAnsi="Arial" w:cs="Arial"/>
      <w:b/>
      <w:bCs/>
      <w:color w:val="FFFFFF"/>
      <w:kern w:val="36"/>
      <w:sz w:val="45"/>
      <w:szCs w:val="45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F4771B"/>
    <w:pPr>
      <w:spacing w:line="240" w:lineRule="auto"/>
      <w:outlineLvl w:val="5"/>
    </w:pPr>
    <w:rPr>
      <w:rFonts w:ascii="Tahoma" w:eastAsia="Times New Roman" w:hAnsi="Tahoma" w:cs="Tahoma"/>
      <w:color w:val="666666"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771B"/>
    <w:rPr>
      <w:rFonts w:ascii="Arial" w:eastAsia="Times New Roman" w:hAnsi="Arial" w:cs="Arial"/>
      <w:b/>
      <w:bCs/>
      <w:color w:val="FFFFFF"/>
      <w:kern w:val="36"/>
      <w:sz w:val="45"/>
      <w:szCs w:val="45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F4771B"/>
    <w:rPr>
      <w:rFonts w:ascii="Tahoma" w:eastAsia="Times New Roman" w:hAnsi="Tahoma" w:cs="Tahoma"/>
      <w:color w:val="666666"/>
      <w:sz w:val="15"/>
      <w:szCs w:val="15"/>
      <w:lang w:eastAsia="sv-SE"/>
    </w:rPr>
  </w:style>
  <w:style w:type="paragraph" w:customStyle="1" w:styleId="Default">
    <w:name w:val="Default"/>
    <w:rsid w:val="00F4771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F477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2A71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7097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37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get.se/gifU0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Windh</dc:creator>
  <cp:lastModifiedBy>Jonas Windh</cp:lastModifiedBy>
  <cp:revision>1</cp:revision>
  <dcterms:created xsi:type="dcterms:W3CDTF">2012-12-04T08:19:00Z</dcterms:created>
  <dcterms:modified xsi:type="dcterms:W3CDTF">2012-12-04T09:11:00Z</dcterms:modified>
</cp:coreProperties>
</file>