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b/>
        </w:rPr>
        <w:t xml:space="preserve">Vad är EBC?</w:t>
      </w:r>
    </w:p>
    <w:p>
      <w:pPr/>
      <w:r>
        <w:rPr>
          <w:rFonts w:ascii="Times" w:hAnsi="Times" w:cs="Times"/>
          <w:sz w:val="28"/>
          <w:sz-cs w:val="28"/>
        </w:rPr>
        <w:t xml:space="preserve">Det här materialet är framtaget av Svenska Basketbollförbundet (SBBF) i syfte att hjälpa föreningar i arbetet med att arrangera Easy Basket Challenge.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”Så många som möjligt, så länge som möjligt”</w:t>
      </w:r>
    </w:p>
    <w:p>
      <w:pPr/>
      <w:r>
        <w:rPr>
          <w:rFonts w:ascii="Times" w:hAnsi="Times" w:cs="Times"/>
          <w:sz w:val="28"/>
          <w:sz-cs w:val="28"/>
        </w:rPr>
        <w:t xml:space="preserve">Easy Basket Challenge (EBC) är en basketsammandragning för barn upp till 10 år, där lag från flera olika föreningar spelar matcher och deltar i lekar. </w:t>
      </w:r>
    </w:p>
    <w:p>
      <w:pPr/>
      <w:r>
        <w:rPr>
          <w:rFonts w:ascii="Times" w:hAnsi="Times" w:cs="Times"/>
          <w:sz w:val="28"/>
          <w:sz-cs w:val="28"/>
        </w:rPr>
        <w:t xml:space="preserve">Hela familjen erbjuds en verksamhet som är enkel, rolig och som skapar delaktighet för alla familjens medlemmar.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Under en Easy Basket Challenge spelar lagen två matcher, 4 mot 4, på låga korgar. Allt för att skapa stora ytor och delaktighet i spelet. Vi utgår från barnen och deras idrottsupplevelse och utveckling.</w:t>
      </w:r>
    </w:p>
    <w:p>
      <w:pPr/>
      <w:r>
        <w:rPr>
          <w:rFonts w:ascii="Times" w:hAnsi="Times" w:cs="Times"/>
          <w:sz w:val="28"/>
          <w:sz-cs w:val="28"/>
        </w:rPr>
        <w:t xml:space="preserve">Domare, som agerar som matchledare, tillsammans med tränare bidrar med glädje och engagemang.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Varför EBC?</w:t>
      </w:r>
    </w:p>
    <w:p>
      <w:pPr/>
      <w:r>
        <w:rPr>
          <w:rFonts w:ascii="Times" w:hAnsi="Times" w:cs="Times"/>
          <w:sz w:val="28"/>
          <w:sz-cs w:val="28"/>
        </w:rPr>
        <w:t xml:space="preserve">Med EBC vill vi inspirera barn att älska idrott genom basketaktiviteter, och säkerställa att träning och tävling för barn följer SBBF:s Spelarutvecklingsplan, Riksidrottsförbundets riktlinjer för barnidrott och Förenta Nationernas barnkonvention.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All träning och tävling ska ske på barns villkor med fokus på: 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JAG – Kroppskontroll (rörlighet, balans koordination, snabbhet och styrka mm.) och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JAG OCH BOLLEN – Basketteknik (skjuta, passa, dribbla, rotera, försvar, start och stopp, att göra sig fri) i enlighet med Svenska Basketbollförbundets Spelarutvecklingsplan.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Regler (med lokala anpassningar)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Ingen officiell poängräkning, prestationen är det viktiga, inte resultatet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3 eller 4 perioder x 5 minuter rullande tid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För barn upp till 10 år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4-4 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Låg höjd på korgarna (260 cm ovan golv)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Bollstorlek 5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Man får inte ta bollen av spelare som håller bollen med båda händerna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Periodpauserna är som en time-out, med 1 min vila samt 3 min vila mellan andra och tredje perioden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Uppkast sker endast vid matchstart. Vid övriga tillfällen praktiseras ”varannan gång principen” dvs. vid vartannat uppkasttillfälle skall lagen få inkast vid sidan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Bakåtspel eller 3-sekundersregler tillämpas ej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Det finns möjlighet att delta med mixade lag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Flickor och pojkar kan spela mot varandra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Alla coacher skall sträva efter att alla spelare får lika mycket speltid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  <w:tab/>
        <w:t xml:space="preserve">•</w:t>
        <w:tab/>
        <w:t xml:space="preserve">Coacher strävar inte efter att vinna utan för att alla på planen, såväl motståndare som egna spelare, har roligt på planen och känner sig delaktiga i matchen</w:t>
      </w:r>
      <w:r>
        <w:rPr>
          <w:rFonts w:ascii="Times" w:hAnsi="Times" w:cs="Times"/>
          <w:sz w:val="24"/>
          <w:sz-cs w:val="24"/>
        </w:rPr>
        <w:t xml:space="preserve"/>
      </w:r>
    </w:p>
    <w:sectPr>
      <w:pgSz w:w="16839" w:h="23814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Office IT-Partner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Munthe</dc:creator>
</cp:coreProperties>
</file>

<file path=docProps/meta.xml><?xml version="1.0" encoding="utf-8"?>
<meta xmlns="http://schemas.apple.com/cocoa/2006/metadata">
  <generator>CocoaOOXMLWriter/2487.6</generator>
</meta>
</file>